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E44F4" w:rsidRPr="005E44F4" w:rsidRDefault="005E44F4" w:rsidP="005E44F4">
      <w:pPr>
        <w:pStyle w:val="Kop1"/>
        <w:spacing w:line="276" w:lineRule="auto"/>
        <w:rPr>
          <w:rFonts w:ascii="Verdana" w:hAnsi="Verdana" w:cs="Arial"/>
          <w:sz w:val="18"/>
          <w:szCs w:val="18"/>
          <w:lang w:eastAsia="nl-NL"/>
        </w:rPr>
      </w:pPr>
      <w:bookmarkStart w:id="0" w:name="_Toc110509955"/>
      <w:r w:rsidRPr="005E44F4">
        <w:rPr>
          <w:rFonts w:ascii="Verdana" w:hAnsi="Verdana" w:cs="Arial"/>
          <w:sz w:val="18"/>
          <w:szCs w:val="18"/>
          <w:lang w:eastAsia="nl-NL"/>
        </w:rPr>
        <w:t>Procesafspraken voorwaardelijke machtiging aan de achterkant</w:t>
      </w:r>
      <w:bookmarkEnd w:id="0"/>
    </w:p>
    <w:p w:rsidR="005E44F4" w:rsidRPr="005E44F4" w:rsidRDefault="00A05DA0" w:rsidP="005E44F4">
      <w:pPr>
        <w:spacing w:line="276" w:lineRule="auto"/>
        <w:rPr>
          <w:rFonts w:ascii="Verdana" w:hAnsi="Verdana"/>
          <w:sz w:val="18"/>
          <w:szCs w:val="18"/>
          <w:lang w:eastAsia="nl-NL"/>
        </w:rPr>
      </w:pPr>
      <w:r>
        <w:rPr>
          <w:rFonts w:ascii="Verdana" w:hAnsi="Verdana"/>
          <w:sz w:val="18"/>
          <w:szCs w:val="18"/>
          <w:lang w:eastAsia="nl-NL"/>
        </w:rPr>
        <w:br/>
      </w:r>
      <w:r w:rsidR="005E44F4" w:rsidRPr="005E44F4">
        <w:rPr>
          <w:rFonts w:ascii="Verdana" w:hAnsi="Verdana"/>
          <w:sz w:val="18"/>
          <w:szCs w:val="18"/>
          <w:lang w:eastAsia="nl-NL"/>
        </w:rPr>
        <w:t xml:space="preserve">Het doel van een voorwaardelijke machtiging aan de achterkant is om te voorkomen dat de jeugdige na een verblijf bij de JeugdzorgPlus aanbieder een terugval krijgt en na uitstroom terug geplaatst wordt bij de JeugdzorgPlus aanbieder. </w:t>
      </w:r>
      <w:r>
        <w:rPr>
          <w:rFonts w:ascii="Verdana" w:hAnsi="Verdana"/>
          <w:sz w:val="18"/>
          <w:szCs w:val="18"/>
          <w:lang w:eastAsia="nl-NL"/>
        </w:rPr>
        <w:t xml:space="preserve">Tevens kan de VM aan de achterkant ingezet worden met het oog op jongeren die de 18 naderen. </w:t>
      </w:r>
    </w:p>
    <w:p w:rsidR="005E44F4" w:rsidRPr="005E44F4" w:rsidRDefault="005E44F4" w:rsidP="005E44F4">
      <w:pPr>
        <w:spacing w:line="276" w:lineRule="auto"/>
        <w:rPr>
          <w:rFonts w:ascii="Verdana" w:hAnsi="Verdana"/>
          <w:sz w:val="18"/>
          <w:szCs w:val="18"/>
          <w:lang w:eastAsia="nl-NL"/>
        </w:rPr>
      </w:pPr>
      <w:r w:rsidRPr="005E44F4">
        <w:rPr>
          <w:rFonts w:ascii="Verdana" w:hAnsi="Verdana"/>
          <w:sz w:val="18"/>
          <w:szCs w:val="18"/>
          <w:lang w:eastAsia="nl-NL"/>
        </w:rPr>
        <w:t xml:space="preserve">De overstap van </w:t>
      </w:r>
      <w:r w:rsidR="00A05DA0">
        <w:rPr>
          <w:rFonts w:ascii="Verdana" w:hAnsi="Verdana"/>
          <w:sz w:val="18"/>
          <w:szCs w:val="18"/>
          <w:lang w:eastAsia="nl-NL"/>
        </w:rPr>
        <w:t>een gesloten plaatsing bij een J</w:t>
      </w:r>
      <w:r w:rsidRPr="005E44F4">
        <w:rPr>
          <w:rFonts w:ascii="Verdana" w:hAnsi="Verdana"/>
          <w:sz w:val="18"/>
          <w:szCs w:val="18"/>
          <w:lang w:eastAsia="nl-NL"/>
        </w:rPr>
        <w:t xml:space="preserve">eugdzorgPlus aanbieder naar bijvoorbeeld een opengroep, terug naar huis plaatsing etc. brengt veel onzekerheden met zich mee. Is de jeugdige klaar voor deze stap? Gaat de jeugdige geen terugval krijgen? Lukt het ouders of andere aanbieders om de zorg verder voor te zetten? </w:t>
      </w:r>
    </w:p>
    <w:p w:rsidR="005E44F4" w:rsidRPr="005E44F4" w:rsidRDefault="005E44F4" w:rsidP="005E44F4">
      <w:pPr>
        <w:spacing w:line="276" w:lineRule="auto"/>
        <w:rPr>
          <w:rFonts w:ascii="Verdana" w:hAnsi="Verdana"/>
          <w:sz w:val="18"/>
          <w:szCs w:val="18"/>
          <w:lang w:eastAsia="nl-NL"/>
        </w:rPr>
      </w:pPr>
      <w:r w:rsidRPr="005E44F4">
        <w:rPr>
          <w:rFonts w:ascii="Verdana" w:hAnsi="Verdana"/>
          <w:sz w:val="18"/>
          <w:szCs w:val="18"/>
          <w:lang w:eastAsia="nl-NL"/>
        </w:rPr>
        <w:t xml:space="preserve">In deze gevallen kan ervoor gekozen worden om de voorwaardelijke machtigen aan de achterkant in te zetten. Dit zodat de expertise van de JeugdzorgPlus instelling wordt meegenomen in het vervolgtraject, hiernaast is het een stok achter de deur voor alle betrokkenen. </w:t>
      </w:r>
    </w:p>
    <w:p w:rsidR="005E44F4" w:rsidRPr="005E44F4" w:rsidRDefault="005E44F4" w:rsidP="005E44F4">
      <w:pPr>
        <w:spacing w:line="276" w:lineRule="auto"/>
        <w:rPr>
          <w:rFonts w:ascii="Verdana" w:hAnsi="Verdana"/>
          <w:sz w:val="18"/>
          <w:szCs w:val="18"/>
          <w:lang w:eastAsia="nl-NL"/>
        </w:rPr>
      </w:pPr>
      <w:r w:rsidRPr="005E44F4">
        <w:rPr>
          <w:rFonts w:ascii="Verdana" w:hAnsi="Verdana"/>
          <w:sz w:val="18"/>
          <w:szCs w:val="18"/>
          <w:lang w:eastAsia="nl-NL"/>
        </w:rPr>
        <w:t>Indien de kinderrechter naar aanleiding van artikel 6.1.4 een voorwaardelijke machtiging verleent, conform de Jeugdwet hebben de JeugdzorgPlus aanbieders/verwijzers de juridi</w:t>
      </w:r>
      <w:bookmarkStart w:id="1" w:name="_GoBack"/>
      <w:bookmarkEnd w:id="1"/>
      <w:r w:rsidRPr="005E44F4">
        <w:rPr>
          <w:rFonts w:ascii="Verdana" w:hAnsi="Verdana"/>
          <w:sz w:val="18"/>
          <w:szCs w:val="18"/>
          <w:lang w:eastAsia="nl-NL"/>
        </w:rPr>
        <w:t>sche verantwoordelijkheid bij de inzet van de voorwaardelijke machtiging. Hierbij gelden de volgende afspraken:</w:t>
      </w:r>
      <w:r w:rsidR="00A05DA0">
        <w:rPr>
          <w:rFonts w:ascii="Verdana" w:hAnsi="Verdana"/>
          <w:sz w:val="18"/>
          <w:szCs w:val="18"/>
          <w:lang w:eastAsia="nl-NL"/>
        </w:rPr>
        <w:br/>
      </w:r>
    </w:p>
    <w:p w:rsidR="005E44F4" w:rsidRPr="005E44F4" w:rsidRDefault="005E44F4" w:rsidP="005E44F4">
      <w:pPr>
        <w:spacing w:line="276" w:lineRule="auto"/>
        <w:rPr>
          <w:rFonts w:ascii="Verdana" w:hAnsi="Verdana"/>
          <w:sz w:val="18"/>
          <w:szCs w:val="18"/>
          <w:u w:val="single"/>
          <w:lang w:eastAsia="nl-NL"/>
        </w:rPr>
      </w:pPr>
      <w:r w:rsidRPr="005E44F4">
        <w:rPr>
          <w:rFonts w:ascii="Verdana" w:hAnsi="Verdana"/>
          <w:sz w:val="18"/>
          <w:szCs w:val="18"/>
          <w:u w:val="single"/>
          <w:lang w:eastAsia="nl-NL"/>
        </w:rPr>
        <w:t xml:space="preserve">Afspraken voor de verwijzer: </w:t>
      </w:r>
    </w:p>
    <w:p w:rsidR="005E44F4" w:rsidRPr="005E44F4" w:rsidRDefault="005E44F4" w:rsidP="005E44F4">
      <w:pPr>
        <w:pStyle w:val="Lijstalinea"/>
        <w:numPr>
          <w:ilvl w:val="0"/>
          <w:numId w:val="2"/>
        </w:numPr>
        <w:spacing w:line="276" w:lineRule="auto"/>
        <w:rPr>
          <w:rFonts w:ascii="Verdana" w:hAnsi="Verdana"/>
          <w:sz w:val="18"/>
          <w:szCs w:val="18"/>
          <w:lang w:eastAsia="nl-NL"/>
        </w:rPr>
      </w:pPr>
      <w:r w:rsidRPr="005E44F4">
        <w:rPr>
          <w:rFonts w:ascii="Verdana" w:hAnsi="Verdana"/>
          <w:sz w:val="18"/>
          <w:szCs w:val="18"/>
          <w:lang w:eastAsia="nl-NL"/>
        </w:rPr>
        <w:t>De verwijzer is verantwoordelijk voor het aanvragen van een voorwaardelijke machtiging;</w:t>
      </w:r>
    </w:p>
    <w:p w:rsidR="005E44F4" w:rsidRPr="005E44F4" w:rsidRDefault="005E44F4" w:rsidP="005E44F4">
      <w:pPr>
        <w:pStyle w:val="Lijstalinea"/>
        <w:numPr>
          <w:ilvl w:val="0"/>
          <w:numId w:val="2"/>
        </w:numPr>
        <w:spacing w:line="276" w:lineRule="auto"/>
        <w:rPr>
          <w:rFonts w:ascii="Verdana" w:hAnsi="Verdana"/>
          <w:sz w:val="18"/>
          <w:szCs w:val="18"/>
          <w:lang w:eastAsia="nl-NL"/>
        </w:rPr>
      </w:pPr>
      <w:r w:rsidRPr="005E44F4">
        <w:rPr>
          <w:rFonts w:ascii="Verdana" w:hAnsi="Verdana"/>
          <w:sz w:val="18"/>
          <w:szCs w:val="18"/>
          <w:lang w:eastAsia="nl-NL"/>
        </w:rPr>
        <w:t>De verwijzer is verantwoordelijk voor een geschikte plek na uitstroom van de jongeren.</w:t>
      </w:r>
      <w:r w:rsidR="00A05DA0">
        <w:rPr>
          <w:rFonts w:ascii="Verdana" w:hAnsi="Verdana"/>
          <w:sz w:val="18"/>
          <w:szCs w:val="18"/>
          <w:lang w:eastAsia="nl-NL"/>
        </w:rPr>
        <w:br/>
      </w:r>
    </w:p>
    <w:p w:rsidR="005E44F4" w:rsidRPr="005E44F4" w:rsidRDefault="005E44F4" w:rsidP="005E44F4">
      <w:pPr>
        <w:spacing w:line="276" w:lineRule="auto"/>
        <w:rPr>
          <w:rFonts w:ascii="Verdana" w:hAnsi="Verdana"/>
          <w:sz w:val="18"/>
          <w:szCs w:val="18"/>
          <w:u w:val="single"/>
          <w:lang w:eastAsia="nl-NL"/>
        </w:rPr>
      </w:pPr>
      <w:r w:rsidRPr="005E44F4">
        <w:rPr>
          <w:rFonts w:ascii="Verdana" w:hAnsi="Verdana"/>
          <w:sz w:val="18"/>
          <w:szCs w:val="18"/>
          <w:u w:val="single"/>
          <w:lang w:eastAsia="nl-NL"/>
        </w:rPr>
        <w:t xml:space="preserve">Afspraken voor de aanbieder: </w:t>
      </w:r>
    </w:p>
    <w:p w:rsidR="005E44F4" w:rsidRPr="005E44F4" w:rsidRDefault="005E44F4" w:rsidP="005E44F4">
      <w:pPr>
        <w:pStyle w:val="Lijstalinea"/>
        <w:numPr>
          <w:ilvl w:val="0"/>
          <w:numId w:val="1"/>
        </w:numPr>
        <w:spacing w:line="276" w:lineRule="auto"/>
        <w:rPr>
          <w:rFonts w:ascii="Verdana" w:hAnsi="Verdana"/>
          <w:sz w:val="18"/>
          <w:szCs w:val="18"/>
          <w:lang w:eastAsia="nl-NL"/>
        </w:rPr>
      </w:pPr>
      <w:r w:rsidRPr="005E44F4">
        <w:rPr>
          <w:rFonts w:ascii="Verdana" w:hAnsi="Verdana"/>
          <w:sz w:val="18"/>
          <w:szCs w:val="18"/>
          <w:lang w:eastAsia="nl-NL"/>
        </w:rPr>
        <w:t>De behandelaar van de JeugdzorgPlus aanbieder draagt samen met de verwijzer, jeugdige, gezaghebbende betrokkenen, ouders en andere jeugdzorg organisaties zorg voor de uitvoering van het behandelplan;</w:t>
      </w:r>
    </w:p>
    <w:p w:rsidR="005E44F4" w:rsidRDefault="005E44F4" w:rsidP="00874E6A">
      <w:pPr>
        <w:pStyle w:val="Lijstalinea"/>
        <w:numPr>
          <w:ilvl w:val="0"/>
          <w:numId w:val="1"/>
        </w:numPr>
        <w:spacing w:line="276" w:lineRule="auto"/>
        <w:rPr>
          <w:rFonts w:ascii="Verdana" w:hAnsi="Verdana"/>
          <w:sz w:val="18"/>
          <w:szCs w:val="18"/>
          <w:lang w:eastAsia="nl-NL"/>
        </w:rPr>
      </w:pPr>
      <w:r w:rsidRPr="005E44F4">
        <w:rPr>
          <w:rFonts w:ascii="Verdana" w:hAnsi="Verdana"/>
          <w:sz w:val="18"/>
          <w:szCs w:val="18"/>
          <w:lang w:eastAsia="nl-NL"/>
        </w:rPr>
        <w:t xml:space="preserve">De JeugdzorgPlus aanbieder toezicht op het naleven van de voorwaarden die aan de voorwaardelijke machtiging verbonden zijn, gedurende zes maanden. </w:t>
      </w:r>
    </w:p>
    <w:p w:rsidR="005E44F4" w:rsidRDefault="005E44F4" w:rsidP="005E44F4">
      <w:pPr>
        <w:rPr>
          <w:lang w:eastAsia="nl-NL"/>
        </w:rPr>
      </w:pPr>
      <w:r>
        <w:rPr>
          <w:lang w:eastAsia="nl-NL"/>
        </w:rPr>
        <w:br w:type="page"/>
      </w:r>
    </w:p>
    <w:p w:rsidR="005E44F4" w:rsidRPr="005E44F4" w:rsidRDefault="005E44F4" w:rsidP="005E44F4">
      <w:pPr>
        <w:spacing w:line="276" w:lineRule="auto"/>
      </w:pPr>
    </w:p>
    <w:p w:rsidR="00A23891" w:rsidRDefault="005E44F4" w:rsidP="00874E6A">
      <w:pPr>
        <w:pStyle w:val="Lijstalinea"/>
        <w:numPr>
          <w:ilvl w:val="0"/>
          <w:numId w:val="1"/>
        </w:numPr>
        <w:spacing w:line="276" w:lineRule="auto"/>
      </w:pPr>
      <w:r>
        <w:rPr>
          <w:noProof/>
          <w:lang w:eastAsia="nl-NL"/>
        </w:rPr>
        <w:drawing>
          <wp:inline distT="0" distB="0" distL="0" distR="0" wp14:anchorId="1114FA36" wp14:editId="6CCFB418">
            <wp:extent cx="5067650" cy="4257675"/>
            <wp:effectExtent l="0" t="0" r="0" b="0"/>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085422" cy="4272607"/>
                    </a:xfrm>
                    <a:prstGeom prst="rect">
                      <a:avLst/>
                    </a:prstGeom>
                    <a:noFill/>
                    <a:ln>
                      <a:noFill/>
                    </a:ln>
                  </pic:spPr>
                </pic:pic>
              </a:graphicData>
            </a:graphic>
          </wp:inline>
        </w:drawing>
      </w:r>
    </w:p>
    <w:tbl>
      <w:tblPr>
        <w:tblStyle w:val="Lijsttabel3-Accent5"/>
        <w:tblpPr w:leftFromText="141" w:rightFromText="141" w:vertAnchor="text" w:tblpY="143"/>
        <w:tblW w:w="0" w:type="auto"/>
        <w:tblLook w:val="04A0" w:firstRow="1" w:lastRow="0" w:firstColumn="1" w:lastColumn="0" w:noHBand="0" w:noVBand="1"/>
      </w:tblPr>
      <w:tblGrid>
        <w:gridCol w:w="1758"/>
        <w:gridCol w:w="1578"/>
        <w:gridCol w:w="5724"/>
      </w:tblGrid>
      <w:tr w:rsidR="005E44F4" w:rsidRPr="00157BD4" w:rsidTr="00C4440D">
        <w:trPr>
          <w:cnfStyle w:val="100000000000" w:firstRow="1" w:lastRow="0" w:firstColumn="0" w:lastColumn="0" w:oddVBand="0" w:evenVBand="0" w:oddHBand="0" w:evenHBand="0" w:firstRowFirstColumn="0" w:firstRowLastColumn="0" w:lastRowFirstColumn="0" w:lastRowLastColumn="0"/>
          <w:trHeight w:val="354"/>
        </w:trPr>
        <w:tc>
          <w:tcPr>
            <w:cnfStyle w:val="001000000100" w:firstRow="0" w:lastRow="0" w:firstColumn="1" w:lastColumn="0" w:oddVBand="0" w:evenVBand="0" w:oddHBand="0" w:evenHBand="0" w:firstRowFirstColumn="1" w:firstRowLastColumn="0" w:lastRowFirstColumn="0" w:lastRowLastColumn="0"/>
            <w:tcW w:w="1758" w:type="dxa"/>
          </w:tcPr>
          <w:p w:rsidR="005E44F4" w:rsidRPr="00157BD4" w:rsidRDefault="005E44F4" w:rsidP="00C4440D">
            <w:pPr>
              <w:spacing w:line="276" w:lineRule="auto"/>
              <w:rPr>
                <w:rFonts w:ascii="Verdana" w:hAnsi="Verdana"/>
                <w:sz w:val="18"/>
                <w:szCs w:val="18"/>
              </w:rPr>
            </w:pPr>
            <w:r w:rsidRPr="00157BD4">
              <w:rPr>
                <w:rFonts w:ascii="Verdana" w:hAnsi="Verdana"/>
                <w:sz w:val="18"/>
                <w:szCs w:val="18"/>
              </w:rPr>
              <w:t>Adviesorgaan</w:t>
            </w:r>
          </w:p>
        </w:tc>
        <w:tc>
          <w:tcPr>
            <w:tcW w:w="1578" w:type="dxa"/>
          </w:tcPr>
          <w:p w:rsidR="005E44F4" w:rsidRPr="00157BD4" w:rsidRDefault="005E44F4" w:rsidP="00C4440D">
            <w:pPr>
              <w:spacing w:line="276" w:lineRule="auto"/>
              <w:cnfStyle w:val="100000000000" w:firstRow="1" w:lastRow="0" w:firstColumn="0" w:lastColumn="0" w:oddVBand="0" w:evenVBand="0" w:oddHBand="0" w:evenHBand="0" w:firstRowFirstColumn="0" w:firstRowLastColumn="0" w:lastRowFirstColumn="0" w:lastRowLastColumn="0"/>
              <w:rPr>
                <w:rFonts w:ascii="Verdana" w:hAnsi="Verdana"/>
                <w:sz w:val="18"/>
                <w:szCs w:val="18"/>
              </w:rPr>
            </w:pPr>
            <w:r w:rsidRPr="00157BD4">
              <w:rPr>
                <w:rFonts w:ascii="Verdana" w:hAnsi="Verdana"/>
                <w:sz w:val="18"/>
                <w:szCs w:val="18"/>
              </w:rPr>
              <w:t>Regio’s</w:t>
            </w:r>
          </w:p>
        </w:tc>
        <w:tc>
          <w:tcPr>
            <w:tcW w:w="5724" w:type="dxa"/>
          </w:tcPr>
          <w:p w:rsidR="005E44F4" w:rsidRPr="00157BD4" w:rsidRDefault="005E44F4" w:rsidP="00C4440D">
            <w:pPr>
              <w:spacing w:line="276" w:lineRule="auto"/>
              <w:cnfStyle w:val="100000000000" w:firstRow="1" w:lastRow="0" w:firstColumn="0" w:lastColumn="0" w:oddVBand="0" w:evenVBand="0" w:oddHBand="0" w:evenHBand="0" w:firstRowFirstColumn="0" w:firstRowLastColumn="0" w:lastRowFirstColumn="0" w:lastRowLastColumn="0"/>
              <w:rPr>
                <w:rFonts w:ascii="Verdana" w:hAnsi="Verdana"/>
                <w:sz w:val="18"/>
                <w:szCs w:val="18"/>
              </w:rPr>
            </w:pPr>
            <w:r w:rsidRPr="00157BD4">
              <w:rPr>
                <w:rFonts w:ascii="Verdana" w:hAnsi="Verdana"/>
                <w:sz w:val="18"/>
                <w:szCs w:val="18"/>
              </w:rPr>
              <w:t>Omschrijving</w:t>
            </w:r>
          </w:p>
        </w:tc>
      </w:tr>
      <w:tr w:rsidR="005E44F4" w:rsidRPr="00157BD4" w:rsidTr="00C4440D">
        <w:trPr>
          <w:cnfStyle w:val="000000100000" w:firstRow="0" w:lastRow="0" w:firstColumn="0" w:lastColumn="0" w:oddVBand="0" w:evenVBand="0" w:oddHBand="1" w:evenHBand="0" w:firstRowFirstColumn="0" w:firstRowLastColumn="0" w:lastRowFirstColumn="0" w:lastRowLastColumn="0"/>
          <w:trHeight w:val="783"/>
        </w:trPr>
        <w:tc>
          <w:tcPr>
            <w:cnfStyle w:val="001000000000" w:firstRow="0" w:lastRow="0" w:firstColumn="1" w:lastColumn="0" w:oddVBand="0" w:evenVBand="0" w:oddHBand="0" w:evenHBand="0" w:firstRowFirstColumn="0" w:firstRowLastColumn="0" w:lastRowFirstColumn="0" w:lastRowLastColumn="0"/>
            <w:tcW w:w="1758" w:type="dxa"/>
          </w:tcPr>
          <w:p w:rsidR="005E44F4" w:rsidRPr="00157BD4" w:rsidRDefault="005E44F4" w:rsidP="00C4440D">
            <w:pPr>
              <w:spacing w:line="276" w:lineRule="auto"/>
              <w:rPr>
                <w:rFonts w:ascii="Verdana" w:hAnsi="Verdana"/>
                <w:b w:val="0"/>
                <w:bCs w:val="0"/>
                <w:sz w:val="18"/>
                <w:szCs w:val="18"/>
              </w:rPr>
            </w:pPr>
            <w:r w:rsidRPr="00157BD4">
              <w:rPr>
                <w:rFonts w:ascii="Verdana" w:hAnsi="Verdana"/>
                <w:sz w:val="18"/>
                <w:szCs w:val="18"/>
              </w:rPr>
              <w:t>Civiel trajectberaad (CTB)</w:t>
            </w:r>
          </w:p>
        </w:tc>
        <w:tc>
          <w:tcPr>
            <w:tcW w:w="1578" w:type="dxa"/>
          </w:tcPr>
          <w:p w:rsidR="005E44F4" w:rsidRDefault="005E44F4" w:rsidP="00C4440D">
            <w:pPr>
              <w:spacing w:line="276" w:lineRule="auto"/>
              <w:cnfStyle w:val="000000100000" w:firstRow="0" w:lastRow="0" w:firstColumn="0" w:lastColumn="0" w:oddVBand="0" w:evenVBand="0" w:oddHBand="1" w:evenHBand="0" w:firstRowFirstColumn="0" w:firstRowLastColumn="0" w:lastRowFirstColumn="0" w:lastRowLastColumn="0"/>
              <w:rPr>
                <w:rFonts w:ascii="Verdana" w:hAnsi="Verdana"/>
                <w:sz w:val="18"/>
                <w:szCs w:val="18"/>
              </w:rPr>
            </w:pPr>
            <w:r w:rsidRPr="00157BD4">
              <w:rPr>
                <w:rFonts w:ascii="Verdana" w:hAnsi="Verdana"/>
                <w:sz w:val="18"/>
                <w:szCs w:val="18"/>
              </w:rPr>
              <w:t>Noordoost-Brabant (NOB)</w:t>
            </w:r>
          </w:p>
          <w:p w:rsidR="005E44F4" w:rsidRDefault="005E44F4" w:rsidP="00C4440D">
            <w:pPr>
              <w:spacing w:line="276" w:lineRule="auto"/>
              <w:cnfStyle w:val="000000100000" w:firstRow="0" w:lastRow="0" w:firstColumn="0" w:lastColumn="0" w:oddVBand="0" w:evenVBand="0" w:oddHBand="1" w:evenHBand="0" w:firstRowFirstColumn="0" w:firstRowLastColumn="0" w:lastRowFirstColumn="0" w:lastRowLastColumn="0"/>
              <w:rPr>
                <w:rFonts w:ascii="Verdana" w:hAnsi="Verdana"/>
                <w:sz w:val="18"/>
                <w:szCs w:val="18"/>
              </w:rPr>
            </w:pPr>
            <w:r>
              <w:rPr>
                <w:rFonts w:ascii="Verdana" w:hAnsi="Verdana"/>
                <w:sz w:val="18"/>
                <w:szCs w:val="18"/>
              </w:rPr>
              <w:t xml:space="preserve">En </w:t>
            </w:r>
          </w:p>
          <w:p w:rsidR="005E44F4" w:rsidRPr="00157BD4" w:rsidRDefault="005E44F4" w:rsidP="00C4440D">
            <w:pPr>
              <w:spacing w:line="276" w:lineRule="auto"/>
              <w:cnfStyle w:val="000000100000" w:firstRow="0" w:lastRow="0" w:firstColumn="0" w:lastColumn="0" w:oddVBand="0" w:evenVBand="0" w:oddHBand="1" w:evenHBand="0" w:firstRowFirstColumn="0" w:firstRowLastColumn="0" w:lastRowFirstColumn="0" w:lastRowLastColumn="0"/>
              <w:rPr>
                <w:rFonts w:ascii="Verdana" w:hAnsi="Verdana"/>
                <w:sz w:val="18"/>
                <w:szCs w:val="18"/>
              </w:rPr>
            </w:pPr>
            <w:r>
              <w:rPr>
                <w:rFonts w:ascii="Verdana" w:hAnsi="Verdana"/>
                <w:sz w:val="18"/>
                <w:szCs w:val="18"/>
              </w:rPr>
              <w:t>Zuidoost- Brabant</w:t>
            </w:r>
          </w:p>
        </w:tc>
        <w:tc>
          <w:tcPr>
            <w:tcW w:w="5724" w:type="dxa"/>
          </w:tcPr>
          <w:p w:rsidR="005E44F4" w:rsidRPr="00157BD4" w:rsidRDefault="005E44F4" w:rsidP="00C4440D">
            <w:pPr>
              <w:pStyle w:val="Normaalweb"/>
              <w:spacing w:before="0" w:beforeAutospacing="0" w:after="0" w:afterAutospacing="0" w:line="276" w:lineRule="auto"/>
              <w:cnfStyle w:val="000000100000" w:firstRow="0" w:lastRow="0" w:firstColumn="0" w:lastColumn="0" w:oddVBand="0" w:evenVBand="0" w:oddHBand="1" w:evenHBand="0" w:firstRowFirstColumn="0" w:firstRowLastColumn="0" w:lastRowFirstColumn="0" w:lastRowLastColumn="0"/>
              <w:rPr>
                <w:rFonts w:ascii="Verdana" w:hAnsi="Verdana" w:cstheme="minorHAnsi"/>
                <w:sz w:val="18"/>
                <w:szCs w:val="18"/>
              </w:rPr>
            </w:pPr>
            <w:r w:rsidRPr="00157BD4">
              <w:rPr>
                <w:rFonts w:ascii="Verdana" w:hAnsi="Verdana" w:cstheme="minorHAnsi"/>
                <w:sz w:val="18"/>
                <w:szCs w:val="18"/>
              </w:rPr>
              <w:t>Adviesfunctie bij zowel instroom als uitstroom van een JZ+ plaatsing. CTB wordt ingezet om JeugdzorgPlus plaatsingen zoveel mogelijk te voorkomen of om de plaatsingen te verkorten. In het CTB wordt in een beraad samen met de jeugdigen, zijn/haar ouders en netwerk een inhoudelijk perspectief biedend plan gemaakt. Met een nadrukkelijke rol en voor jongere en ouders.</w:t>
            </w:r>
          </w:p>
          <w:p w:rsidR="005E44F4" w:rsidRPr="00157BD4" w:rsidRDefault="005E44F4" w:rsidP="00C4440D">
            <w:pPr>
              <w:spacing w:line="276" w:lineRule="auto"/>
              <w:cnfStyle w:val="000000100000" w:firstRow="0" w:lastRow="0" w:firstColumn="0" w:lastColumn="0" w:oddVBand="0" w:evenVBand="0" w:oddHBand="1" w:evenHBand="0" w:firstRowFirstColumn="0" w:firstRowLastColumn="0" w:lastRowFirstColumn="0" w:lastRowLastColumn="0"/>
              <w:rPr>
                <w:rFonts w:ascii="Verdana" w:hAnsi="Verdana" w:cstheme="minorHAnsi"/>
                <w:sz w:val="18"/>
                <w:szCs w:val="18"/>
              </w:rPr>
            </w:pPr>
          </w:p>
        </w:tc>
      </w:tr>
    </w:tbl>
    <w:p w:rsidR="005E44F4" w:rsidRPr="004A5CDD" w:rsidRDefault="005E44F4" w:rsidP="005E44F4">
      <w:pPr>
        <w:spacing w:line="276" w:lineRule="auto"/>
      </w:pPr>
    </w:p>
    <w:sectPr w:rsidR="005E44F4" w:rsidRPr="004A5CDD" w:rsidSect="004B7D82">
      <w:pgSz w:w="11906" w:h="16838"/>
      <w:pgMar w:top="1418" w:right="1418" w:bottom="1418"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B57298"/>
    <w:multiLevelType w:val="hybridMultilevel"/>
    <w:tmpl w:val="1318D420"/>
    <w:lvl w:ilvl="0" w:tplc="0AD27384">
      <w:numFmt w:val="bullet"/>
      <w:lvlText w:val="-"/>
      <w:lvlJc w:val="left"/>
      <w:pPr>
        <w:ind w:left="720" w:hanging="360"/>
      </w:pPr>
      <w:rPr>
        <w:rFonts w:ascii="Arial" w:eastAsiaTheme="minorHAnsi"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3D5F2E87"/>
    <w:multiLevelType w:val="hybridMultilevel"/>
    <w:tmpl w:val="6624CB7E"/>
    <w:lvl w:ilvl="0" w:tplc="0AD27384">
      <w:numFmt w:val="bullet"/>
      <w:lvlText w:val="-"/>
      <w:lvlJc w:val="left"/>
      <w:pPr>
        <w:ind w:left="720" w:hanging="360"/>
      </w:pPr>
      <w:rPr>
        <w:rFonts w:ascii="Arial" w:eastAsiaTheme="minorHAnsi"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drawingGridHorizontalSpacing w:val="9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44F4"/>
    <w:rsid w:val="002050E4"/>
    <w:rsid w:val="0021188C"/>
    <w:rsid w:val="00273CEB"/>
    <w:rsid w:val="00392A1A"/>
    <w:rsid w:val="004A5CDD"/>
    <w:rsid w:val="004B7D82"/>
    <w:rsid w:val="005E44F4"/>
    <w:rsid w:val="008F6C27"/>
    <w:rsid w:val="00971503"/>
    <w:rsid w:val="00A05DA0"/>
    <w:rsid w:val="00A23891"/>
    <w:rsid w:val="00AD091A"/>
    <w:rsid w:val="00CB441C"/>
    <w:rsid w:val="00CB50AF"/>
    <w:rsid w:val="00CB6623"/>
    <w:rsid w:val="00CC3CE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E9B11B"/>
  <w15:chartTrackingRefBased/>
  <w15:docId w15:val="{B295F6A9-33CA-4536-968B-EB609238E2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Verdana" w:eastAsiaTheme="minorHAnsi" w:hAnsi="Verdana" w:cstheme="minorBidi"/>
        <w:sz w:val="18"/>
        <w:szCs w:val="18"/>
        <w:lang w:val="nl-NL" w:eastAsia="en-US" w:bidi="ar-SA"/>
      </w:rPr>
    </w:rPrDefault>
    <w:pPrDefault>
      <w:pPr>
        <w:spacing w:line="360"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5E44F4"/>
    <w:pPr>
      <w:spacing w:after="80" w:line="240" w:lineRule="auto"/>
    </w:pPr>
    <w:rPr>
      <w:rFonts w:ascii="Arial" w:hAnsi="Arial"/>
      <w:sz w:val="20"/>
      <w:szCs w:val="22"/>
    </w:rPr>
  </w:style>
  <w:style w:type="paragraph" w:styleId="Kop1">
    <w:name w:val="heading 1"/>
    <w:basedOn w:val="Standaard"/>
    <w:next w:val="Standaard"/>
    <w:link w:val="Kop1Char"/>
    <w:uiPriority w:val="9"/>
    <w:qFormat/>
    <w:rsid w:val="00273CEB"/>
    <w:pPr>
      <w:keepNext/>
      <w:keepLines/>
      <w:spacing w:before="480"/>
      <w:outlineLvl w:val="0"/>
    </w:pPr>
    <w:rPr>
      <w:rFonts w:eastAsiaTheme="majorEastAsia" w:cstheme="majorBidi"/>
      <w:b/>
      <w:bCs/>
      <w:szCs w:val="28"/>
    </w:rPr>
  </w:style>
  <w:style w:type="paragraph" w:styleId="Kop2">
    <w:name w:val="heading 2"/>
    <w:basedOn w:val="Standaard"/>
    <w:next w:val="Standaard"/>
    <w:link w:val="Kop2Char"/>
    <w:uiPriority w:val="9"/>
    <w:qFormat/>
    <w:rsid w:val="00273CEB"/>
    <w:pPr>
      <w:keepNext/>
      <w:keepLines/>
      <w:spacing w:before="200"/>
      <w:outlineLvl w:val="1"/>
    </w:pPr>
    <w:rPr>
      <w:rFonts w:eastAsiaTheme="majorEastAsia" w:cstheme="majorBidi"/>
      <w:bCs/>
      <w:i/>
      <w:szCs w:val="26"/>
    </w:rPr>
  </w:style>
  <w:style w:type="paragraph" w:styleId="Kop3">
    <w:name w:val="heading 3"/>
    <w:basedOn w:val="Standaard"/>
    <w:next w:val="Standaard"/>
    <w:link w:val="Kop3Char"/>
    <w:uiPriority w:val="9"/>
    <w:qFormat/>
    <w:rsid w:val="00273CEB"/>
    <w:pPr>
      <w:keepNext/>
      <w:keepLines/>
      <w:spacing w:before="200"/>
      <w:outlineLvl w:val="2"/>
    </w:pPr>
    <w:rPr>
      <w:rFonts w:eastAsiaTheme="majorEastAsia" w:cstheme="majorBidi"/>
      <w:bCs/>
      <w:smallCap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273CEB"/>
    <w:rPr>
      <w:rFonts w:eastAsiaTheme="majorEastAsia" w:cstheme="majorBidi"/>
      <w:b/>
      <w:bCs/>
      <w:szCs w:val="28"/>
    </w:rPr>
  </w:style>
  <w:style w:type="character" w:customStyle="1" w:styleId="Kop2Char">
    <w:name w:val="Kop 2 Char"/>
    <w:basedOn w:val="Standaardalinea-lettertype"/>
    <w:link w:val="Kop2"/>
    <w:uiPriority w:val="9"/>
    <w:rsid w:val="00273CEB"/>
    <w:rPr>
      <w:rFonts w:eastAsiaTheme="majorEastAsia" w:cstheme="majorBidi"/>
      <w:bCs/>
      <w:i/>
      <w:szCs w:val="26"/>
    </w:rPr>
  </w:style>
  <w:style w:type="character" w:customStyle="1" w:styleId="Kop3Char">
    <w:name w:val="Kop 3 Char"/>
    <w:basedOn w:val="Standaardalinea-lettertype"/>
    <w:link w:val="Kop3"/>
    <w:uiPriority w:val="9"/>
    <w:rsid w:val="00273CEB"/>
    <w:rPr>
      <w:rFonts w:eastAsiaTheme="majorEastAsia" w:cstheme="majorBidi"/>
      <w:bCs/>
      <w:smallCaps/>
    </w:rPr>
  </w:style>
  <w:style w:type="paragraph" w:styleId="Geenafstand">
    <w:name w:val="No Spacing"/>
    <w:basedOn w:val="Standaard"/>
    <w:uiPriority w:val="1"/>
    <w:qFormat/>
    <w:rsid w:val="00CB50AF"/>
  </w:style>
  <w:style w:type="paragraph" w:styleId="Titel">
    <w:name w:val="Title"/>
    <w:basedOn w:val="Standaard"/>
    <w:next w:val="Standaard"/>
    <w:link w:val="TitelChar"/>
    <w:uiPriority w:val="10"/>
    <w:qFormat/>
    <w:rsid w:val="0021188C"/>
    <w:pPr>
      <w:spacing w:after="300"/>
      <w:contextualSpacing/>
    </w:pPr>
    <w:rPr>
      <w:rFonts w:eastAsiaTheme="majorEastAsia" w:cstheme="majorBidi"/>
      <w:spacing w:val="5"/>
      <w:kern w:val="28"/>
      <w:sz w:val="24"/>
      <w:szCs w:val="52"/>
    </w:rPr>
  </w:style>
  <w:style w:type="character" w:customStyle="1" w:styleId="TitelChar">
    <w:name w:val="Titel Char"/>
    <w:basedOn w:val="Standaardalinea-lettertype"/>
    <w:link w:val="Titel"/>
    <w:uiPriority w:val="10"/>
    <w:rsid w:val="0021188C"/>
    <w:rPr>
      <w:rFonts w:eastAsiaTheme="majorEastAsia" w:cstheme="majorBidi"/>
      <w:spacing w:val="5"/>
      <w:kern w:val="28"/>
      <w:sz w:val="24"/>
      <w:szCs w:val="52"/>
    </w:rPr>
  </w:style>
  <w:style w:type="paragraph" w:styleId="Kopvaninhoudsopgave">
    <w:name w:val="TOC Heading"/>
    <w:basedOn w:val="Kop1"/>
    <w:next w:val="Standaard"/>
    <w:uiPriority w:val="39"/>
    <w:semiHidden/>
    <w:unhideWhenUsed/>
    <w:qFormat/>
    <w:rsid w:val="00AD091A"/>
    <w:pPr>
      <w:spacing w:line="276" w:lineRule="auto"/>
      <w:outlineLvl w:val="9"/>
    </w:pPr>
    <w:rPr>
      <w:color w:val="365F91" w:themeColor="accent1" w:themeShade="BF"/>
      <w:sz w:val="28"/>
      <w:lang w:eastAsia="nl-NL"/>
    </w:rPr>
  </w:style>
  <w:style w:type="paragraph" w:styleId="Lijstalinea">
    <w:name w:val="List Paragraph"/>
    <w:basedOn w:val="Standaard"/>
    <w:uiPriority w:val="34"/>
    <w:qFormat/>
    <w:rsid w:val="005E44F4"/>
    <w:pPr>
      <w:ind w:left="720"/>
      <w:contextualSpacing/>
    </w:pPr>
  </w:style>
  <w:style w:type="table" w:styleId="Lijsttabel3-Accent5">
    <w:name w:val="List Table 3 Accent 5"/>
    <w:basedOn w:val="Standaardtabel"/>
    <w:uiPriority w:val="48"/>
    <w:rsid w:val="005E44F4"/>
    <w:pPr>
      <w:spacing w:line="240" w:lineRule="auto"/>
    </w:pPr>
    <w:rPr>
      <w:rFonts w:asciiTheme="minorHAnsi" w:hAnsiTheme="minorHAnsi"/>
      <w:sz w:val="22"/>
      <w:szCs w:val="22"/>
    </w:r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tblBorders>
    </w:tblPr>
    <w:tblStylePr w:type="firstRow">
      <w:rPr>
        <w:b/>
        <w:bCs/>
        <w:color w:val="FFFFFF" w:themeColor="background1"/>
      </w:rPr>
      <w:tblPr/>
      <w:tcPr>
        <w:shd w:val="clear" w:color="auto" w:fill="4BACC6" w:themeFill="accent5"/>
      </w:tcPr>
    </w:tblStylePr>
    <w:tblStylePr w:type="lastRow">
      <w:rPr>
        <w:b/>
        <w:bCs/>
      </w:rPr>
      <w:tblPr/>
      <w:tcPr>
        <w:tcBorders>
          <w:top w:val="double" w:sz="4" w:space="0" w:color="4BACC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BACC6" w:themeColor="accent5"/>
          <w:right w:val="single" w:sz="4" w:space="0" w:color="4BACC6" w:themeColor="accent5"/>
        </w:tcBorders>
      </w:tcPr>
    </w:tblStylePr>
    <w:tblStylePr w:type="band1Horz">
      <w:tblPr/>
      <w:tcPr>
        <w:tcBorders>
          <w:top w:val="single" w:sz="4" w:space="0" w:color="4BACC6" w:themeColor="accent5"/>
          <w:bottom w:val="single" w:sz="4" w:space="0" w:color="4BACC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BACC6" w:themeColor="accent5"/>
          <w:left w:val="nil"/>
        </w:tcBorders>
      </w:tcPr>
    </w:tblStylePr>
    <w:tblStylePr w:type="swCell">
      <w:tblPr/>
      <w:tcPr>
        <w:tcBorders>
          <w:top w:val="double" w:sz="4" w:space="0" w:color="4BACC6" w:themeColor="accent5"/>
          <w:right w:val="nil"/>
        </w:tcBorders>
      </w:tcPr>
    </w:tblStylePr>
  </w:style>
  <w:style w:type="paragraph" w:styleId="Normaalweb">
    <w:name w:val="Normal (Web)"/>
    <w:basedOn w:val="Standaard"/>
    <w:uiPriority w:val="99"/>
    <w:semiHidden/>
    <w:unhideWhenUsed/>
    <w:rsid w:val="005E44F4"/>
    <w:pPr>
      <w:spacing w:before="100" w:beforeAutospacing="1" w:after="100" w:afterAutospacing="1"/>
    </w:pPr>
    <w:rPr>
      <w:rFonts w:ascii="Times New Roman" w:eastAsia="Times New Roman" w:hAnsi="Times New Roman" w:cs="Times New Roman"/>
      <w:sz w:val="24"/>
      <w:szCs w:val="24"/>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359</Words>
  <Characters>1975</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Gemeente Oss</Company>
  <LinksUpToDate>false</LinksUpToDate>
  <CharactersWithSpaces>2330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Remmits, Marisja</dc:creator>
  <cp:keywords/>
  <dc:description/>
  <cp:lastModifiedBy>Remmits, Marisja</cp:lastModifiedBy>
  <cp:revision>2</cp:revision>
  <dcterms:created xsi:type="dcterms:W3CDTF">2022-10-17T10:13:00Z</dcterms:created>
  <dcterms:modified xsi:type="dcterms:W3CDTF">2022-10-17T10:22:00Z</dcterms:modified>
</cp:coreProperties>
</file>