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D4" w:rsidRPr="00157BD4" w:rsidRDefault="00157BD4" w:rsidP="00157BD4">
      <w:pPr>
        <w:pStyle w:val="Kop1"/>
        <w:spacing w:line="276" w:lineRule="auto"/>
        <w:rPr>
          <w:rFonts w:ascii="Verdana" w:hAnsi="Verdana" w:cs="Arial"/>
          <w:sz w:val="18"/>
          <w:szCs w:val="18"/>
          <w:lang w:eastAsia="nl-NL"/>
        </w:rPr>
      </w:pPr>
      <w:bookmarkStart w:id="0" w:name="_Toc110509954"/>
      <w:r w:rsidRPr="00157BD4">
        <w:rPr>
          <w:rFonts w:ascii="Verdana" w:hAnsi="Verdana" w:cs="Arial"/>
          <w:sz w:val="18"/>
          <w:szCs w:val="18"/>
          <w:lang w:eastAsia="nl-NL"/>
        </w:rPr>
        <w:t>Procesafspraken voorwaardelijke machtiging aan de voorkant</w:t>
      </w:r>
      <w:bookmarkEnd w:id="0"/>
    </w:p>
    <w:p w:rsidR="00157BD4" w:rsidRPr="00157BD4" w:rsidRDefault="00157BD4" w:rsidP="00157BD4">
      <w:pPr>
        <w:spacing w:line="276" w:lineRule="auto"/>
        <w:rPr>
          <w:rFonts w:ascii="Verdana" w:hAnsi="Verdana" w:cs="Arial"/>
          <w:sz w:val="18"/>
          <w:szCs w:val="18"/>
          <w:lang w:eastAsia="nl-NL"/>
        </w:rPr>
      </w:pPr>
      <w:r>
        <w:rPr>
          <w:rFonts w:ascii="Verdana" w:hAnsi="Verdana" w:cs="Arial"/>
          <w:sz w:val="18"/>
          <w:szCs w:val="18"/>
          <w:lang w:eastAsia="nl-NL"/>
        </w:rPr>
        <w:br/>
      </w:r>
      <w:r w:rsidRPr="00157BD4">
        <w:rPr>
          <w:rFonts w:ascii="Verdana" w:hAnsi="Verdana" w:cs="Arial"/>
          <w:sz w:val="18"/>
          <w:szCs w:val="18"/>
          <w:lang w:eastAsia="nl-NL"/>
        </w:rPr>
        <w:t xml:space="preserve">Het doel van een voorwaardelijke machtiging aan de voorkant is om te voorkomen dat de jeugdigen gesloten geplaatst wordt bij een JeugdzorgPlus aanbieder. Om dit te voorkomen wordt de expertise (een gedragswetenschappen) van de JeugdzorgPlus aanbieder betrokken in de casus. </w:t>
      </w:r>
    </w:p>
    <w:p w:rsidR="00157BD4" w:rsidRPr="00157BD4" w:rsidRDefault="00157BD4" w:rsidP="00157BD4">
      <w:pPr>
        <w:spacing w:line="276" w:lineRule="auto"/>
        <w:rPr>
          <w:rFonts w:ascii="Verdana" w:hAnsi="Verdana" w:cs="Arial"/>
          <w:sz w:val="18"/>
          <w:szCs w:val="18"/>
          <w:lang w:eastAsia="nl-NL"/>
        </w:rPr>
      </w:pPr>
      <w:r w:rsidRPr="00157BD4">
        <w:rPr>
          <w:rFonts w:ascii="Verdana" w:hAnsi="Verdana" w:cs="Arial"/>
          <w:sz w:val="18"/>
          <w:szCs w:val="18"/>
          <w:lang w:eastAsia="nl-NL"/>
        </w:rPr>
        <w:t>Indien de kinderrechter naar aanleiding van artikel 6.1.4 een voorwaardelijke machtiging verleent, conform de Jeugdwet hebben de JeugdzorgPlus aanbieders/verwijzers de juridische verantwoordelijkheid bij de inzet van de voorwaardelijke machtiging. Hierbij gelden de volgende afspraken:</w:t>
      </w:r>
      <w:r>
        <w:rPr>
          <w:rFonts w:ascii="Verdana" w:hAnsi="Verdana" w:cs="Arial"/>
          <w:sz w:val="18"/>
          <w:szCs w:val="18"/>
          <w:lang w:eastAsia="nl-NL"/>
        </w:rPr>
        <w:br/>
      </w:r>
    </w:p>
    <w:p w:rsidR="00157BD4" w:rsidRPr="00157BD4" w:rsidRDefault="00157BD4" w:rsidP="00157BD4">
      <w:pPr>
        <w:spacing w:line="276" w:lineRule="auto"/>
        <w:rPr>
          <w:rFonts w:ascii="Verdana" w:hAnsi="Verdana" w:cs="Arial"/>
          <w:sz w:val="18"/>
          <w:szCs w:val="18"/>
          <w:u w:val="single"/>
          <w:lang w:eastAsia="nl-NL"/>
        </w:rPr>
      </w:pPr>
      <w:r w:rsidRPr="00157BD4">
        <w:rPr>
          <w:rFonts w:ascii="Verdana" w:hAnsi="Verdana" w:cs="Arial"/>
          <w:sz w:val="18"/>
          <w:szCs w:val="18"/>
          <w:u w:val="single"/>
          <w:lang w:eastAsia="nl-NL"/>
        </w:rPr>
        <w:t>Afspraken voor de verwijzer:</w:t>
      </w:r>
    </w:p>
    <w:p w:rsidR="00157BD4" w:rsidRPr="00157BD4" w:rsidRDefault="00157BD4" w:rsidP="00157BD4">
      <w:pPr>
        <w:pStyle w:val="Lijstalinea"/>
        <w:numPr>
          <w:ilvl w:val="0"/>
          <w:numId w:val="2"/>
        </w:numPr>
        <w:spacing w:line="276" w:lineRule="auto"/>
        <w:rPr>
          <w:rFonts w:ascii="Verdana" w:hAnsi="Verdana" w:cs="Arial"/>
          <w:sz w:val="18"/>
          <w:szCs w:val="18"/>
          <w:lang w:eastAsia="nl-NL"/>
        </w:rPr>
      </w:pPr>
      <w:bookmarkStart w:id="1" w:name="_Hlk110509731"/>
      <w:r w:rsidRPr="00157BD4">
        <w:rPr>
          <w:rFonts w:ascii="Verdana" w:hAnsi="Verdana" w:cs="Arial"/>
          <w:sz w:val="18"/>
          <w:szCs w:val="18"/>
          <w:lang w:eastAsia="nl-NL"/>
        </w:rPr>
        <w:t xml:space="preserve">De verwijzer is verantwoordelijk voor het aanvragen van een voorwaardelijke machtiging; </w:t>
      </w:r>
    </w:p>
    <w:bookmarkEnd w:id="1"/>
    <w:p w:rsidR="00157BD4" w:rsidRPr="00157BD4" w:rsidRDefault="00157BD4" w:rsidP="00157BD4">
      <w:pPr>
        <w:pStyle w:val="Lijstalinea"/>
        <w:numPr>
          <w:ilvl w:val="0"/>
          <w:numId w:val="2"/>
        </w:numPr>
        <w:spacing w:line="276" w:lineRule="auto"/>
        <w:rPr>
          <w:rFonts w:ascii="Verdana" w:hAnsi="Verdana" w:cs="Arial"/>
          <w:sz w:val="18"/>
          <w:szCs w:val="18"/>
          <w:lang w:eastAsia="nl-NL"/>
        </w:rPr>
      </w:pPr>
      <w:r w:rsidRPr="00157BD4">
        <w:rPr>
          <w:rFonts w:ascii="Verdana" w:hAnsi="Verdana" w:cs="Arial"/>
          <w:sz w:val="18"/>
          <w:szCs w:val="18"/>
          <w:lang w:eastAsia="nl-NL"/>
        </w:rPr>
        <w:t>De verwijzer neemt contact op met het servicepunt indien de voorwaardelijke machtiging aan de voorkant is uitgesproken door de rechter;</w:t>
      </w:r>
    </w:p>
    <w:p w:rsidR="00157BD4" w:rsidRDefault="00157BD4" w:rsidP="00157BD4">
      <w:pPr>
        <w:pStyle w:val="Lijstalinea"/>
        <w:numPr>
          <w:ilvl w:val="0"/>
          <w:numId w:val="2"/>
        </w:numPr>
        <w:spacing w:line="276" w:lineRule="auto"/>
        <w:rPr>
          <w:rFonts w:ascii="Verdana" w:hAnsi="Verdana" w:cs="Arial"/>
          <w:sz w:val="18"/>
          <w:szCs w:val="18"/>
          <w:lang w:eastAsia="nl-NL"/>
        </w:rPr>
      </w:pPr>
      <w:r w:rsidRPr="00157BD4">
        <w:rPr>
          <w:rFonts w:ascii="Verdana" w:hAnsi="Verdana" w:cs="Arial"/>
          <w:sz w:val="18"/>
          <w:szCs w:val="18"/>
          <w:lang w:eastAsia="nl-NL"/>
        </w:rPr>
        <w:t xml:space="preserve">Vanuit het servicepunt wordt er een </w:t>
      </w:r>
      <w:r>
        <w:rPr>
          <w:rFonts w:ascii="Verdana" w:hAnsi="Verdana" w:cs="Arial"/>
          <w:sz w:val="18"/>
          <w:szCs w:val="18"/>
          <w:lang w:eastAsia="nl-NL"/>
        </w:rPr>
        <w:t xml:space="preserve">JeugdzorgPlus </w:t>
      </w:r>
      <w:r w:rsidRPr="00157BD4">
        <w:rPr>
          <w:rFonts w:ascii="Verdana" w:hAnsi="Verdana" w:cs="Arial"/>
          <w:sz w:val="18"/>
          <w:szCs w:val="18"/>
          <w:lang w:eastAsia="nl-NL"/>
        </w:rPr>
        <w:t>aanbieder gekop</w:t>
      </w:r>
      <w:r>
        <w:rPr>
          <w:rFonts w:ascii="Verdana" w:hAnsi="Verdana" w:cs="Arial"/>
          <w:sz w:val="18"/>
          <w:szCs w:val="18"/>
          <w:lang w:eastAsia="nl-NL"/>
        </w:rPr>
        <w:t>peld aan de casus;</w:t>
      </w:r>
    </w:p>
    <w:p w:rsidR="00157BD4" w:rsidRPr="00157BD4" w:rsidRDefault="00157BD4" w:rsidP="00157BD4">
      <w:pPr>
        <w:pStyle w:val="Lijstalinea"/>
        <w:numPr>
          <w:ilvl w:val="0"/>
          <w:numId w:val="2"/>
        </w:numPr>
        <w:spacing w:line="276" w:lineRule="auto"/>
        <w:rPr>
          <w:rFonts w:ascii="Verdana" w:hAnsi="Verdana" w:cs="Arial"/>
          <w:sz w:val="18"/>
          <w:szCs w:val="18"/>
          <w:lang w:eastAsia="nl-NL"/>
        </w:rPr>
      </w:pPr>
      <w:r>
        <w:rPr>
          <w:rFonts w:ascii="Verdana" w:hAnsi="Verdana" w:cs="Arial"/>
          <w:sz w:val="18"/>
          <w:szCs w:val="18"/>
          <w:lang w:eastAsia="nl-NL"/>
        </w:rPr>
        <w:t>De verwijzer neemt initiatief bij het betrekken van de JeugdzorgPlus aa</w:t>
      </w:r>
      <w:r w:rsidRPr="00157BD4">
        <w:rPr>
          <w:rFonts w:ascii="Verdana" w:hAnsi="Verdana" w:cs="Arial"/>
          <w:sz w:val="18"/>
          <w:szCs w:val="18"/>
          <w:lang w:eastAsia="nl-NL"/>
        </w:rPr>
        <w:t xml:space="preserve">nbieder </w:t>
      </w:r>
      <w:r>
        <w:rPr>
          <w:rFonts w:ascii="Verdana" w:hAnsi="Verdana" w:cs="Arial"/>
          <w:sz w:val="18"/>
          <w:szCs w:val="18"/>
          <w:lang w:eastAsia="nl-NL"/>
        </w:rPr>
        <w:t>bij het proces;</w:t>
      </w:r>
    </w:p>
    <w:p w:rsidR="00157BD4" w:rsidRPr="00157BD4" w:rsidRDefault="00157BD4" w:rsidP="00157BD4">
      <w:pPr>
        <w:pStyle w:val="Lijstalinea"/>
        <w:numPr>
          <w:ilvl w:val="0"/>
          <w:numId w:val="2"/>
        </w:numPr>
        <w:spacing w:line="276" w:lineRule="auto"/>
        <w:rPr>
          <w:rFonts w:ascii="Verdana" w:hAnsi="Verdana" w:cs="Arial"/>
          <w:sz w:val="18"/>
          <w:szCs w:val="18"/>
          <w:lang w:eastAsia="nl-NL"/>
        </w:rPr>
      </w:pPr>
      <w:r w:rsidRPr="00157BD4">
        <w:rPr>
          <w:rFonts w:ascii="Verdana" w:hAnsi="Verdana" w:cs="Arial"/>
          <w:sz w:val="18"/>
          <w:szCs w:val="18"/>
          <w:lang w:eastAsia="nl-NL"/>
        </w:rPr>
        <w:t>De verwijzer blijft bij zowel de voorwaardelijke machtiging aan de voorkant en bij plaatsing betrokken bij de jeugdigen, hierbij is er een gedeelde verantwoordelijkheid rondom het traject van de jeugdige.</w:t>
      </w:r>
      <w:r>
        <w:rPr>
          <w:rFonts w:ascii="Verdana" w:hAnsi="Verdana" w:cs="Arial"/>
          <w:sz w:val="18"/>
          <w:szCs w:val="18"/>
          <w:lang w:eastAsia="nl-NL"/>
        </w:rPr>
        <w:br/>
      </w:r>
    </w:p>
    <w:p w:rsidR="00157BD4" w:rsidRPr="00157BD4" w:rsidRDefault="00157BD4" w:rsidP="00157BD4">
      <w:pPr>
        <w:spacing w:line="276" w:lineRule="auto"/>
        <w:rPr>
          <w:rFonts w:ascii="Verdana" w:hAnsi="Verdana" w:cs="Arial"/>
          <w:sz w:val="18"/>
          <w:szCs w:val="18"/>
          <w:u w:val="single"/>
          <w:lang w:eastAsia="nl-NL"/>
        </w:rPr>
      </w:pPr>
      <w:r w:rsidRPr="00157BD4">
        <w:rPr>
          <w:rFonts w:ascii="Verdana" w:hAnsi="Verdana" w:cs="Arial"/>
          <w:sz w:val="18"/>
          <w:szCs w:val="18"/>
          <w:u w:val="single"/>
          <w:lang w:eastAsia="nl-NL"/>
        </w:rPr>
        <w:t xml:space="preserve">Afspraken voor de aanbieder: </w:t>
      </w:r>
    </w:p>
    <w:p w:rsidR="00157BD4" w:rsidRPr="00157BD4" w:rsidRDefault="00157BD4" w:rsidP="00157BD4">
      <w:pPr>
        <w:pStyle w:val="Lijstalinea"/>
        <w:numPr>
          <w:ilvl w:val="0"/>
          <w:numId w:val="1"/>
        </w:numPr>
        <w:spacing w:line="276" w:lineRule="auto"/>
        <w:rPr>
          <w:rFonts w:ascii="Verdana" w:hAnsi="Verdana" w:cs="Arial"/>
          <w:sz w:val="18"/>
          <w:szCs w:val="18"/>
          <w:lang w:eastAsia="nl-NL"/>
        </w:rPr>
      </w:pPr>
      <w:r w:rsidRPr="00157BD4">
        <w:rPr>
          <w:rFonts w:ascii="Verdana" w:hAnsi="Verdana" w:cs="Arial"/>
          <w:sz w:val="18"/>
          <w:szCs w:val="18"/>
          <w:lang w:eastAsia="nl-NL"/>
        </w:rPr>
        <w:t>De behandelaar van de JeugdzorgPlus aanbieder stelt een behandelplan op samen met: de verwijzer, jeugdige, gezaghebbende betrokkenen, ouders en andere jeugdzorgaanbieder zoals bijvoorbeeld: ambulante hulp, dagbehandeling. Hierbij wordt de verwijzer meegenomen;</w:t>
      </w:r>
    </w:p>
    <w:p w:rsidR="00157BD4" w:rsidRPr="00157BD4" w:rsidRDefault="00157BD4" w:rsidP="00157BD4">
      <w:pPr>
        <w:pStyle w:val="Lijstalinea"/>
        <w:numPr>
          <w:ilvl w:val="0"/>
          <w:numId w:val="1"/>
        </w:numPr>
        <w:spacing w:line="276" w:lineRule="auto"/>
        <w:rPr>
          <w:rFonts w:ascii="Verdana" w:hAnsi="Verdana" w:cs="Arial"/>
          <w:sz w:val="18"/>
          <w:szCs w:val="18"/>
          <w:lang w:eastAsia="nl-NL"/>
        </w:rPr>
      </w:pPr>
      <w:r>
        <w:rPr>
          <w:rFonts w:ascii="Verdana" w:hAnsi="Verdana" w:cs="Arial"/>
          <w:sz w:val="18"/>
          <w:szCs w:val="18"/>
          <w:lang w:eastAsia="nl-NL"/>
        </w:rPr>
        <w:t>De J</w:t>
      </w:r>
      <w:bookmarkStart w:id="2" w:name="_GoBack"/>
      <w:bookmarkEnd w:id="2"/>
      <w:r w:rsidRPr="00157BD4">
        <w:rPr>
          <w:rFonts w:ascii="Verdana" w:hAnsi="Verdana" w:cs="Arial"/>
          <w:sz w:val="18"/>
          <w:szCs w:val="18"/>
          <w:lang w:eastAsia="nl-NL"/>
        </w:rPr>
        <w:t>eugdzorgPlus aanbieder maakt een situatiescan van de jeugdigen om zicht te krijgen op de situatie m.b.t. de verschillende leefgebieden, normaliter wordt hiervoor de methode START-AV gebruikt;</w:t>
      </w:r>
    </w:p>
    <w:p w:rsidR="00157BD4" w:rsidRPr="00157BD4" w:rsidRDefault="00157BD4" w:rsidP="00157BD4">
      <w:pPr>
        <w:pStyle w:val="Lijstalinea"/>
        <w:numPr>
          <w:ilvl w:val="0"/>
          <w:numId w:val="1"/>
        </w:numPr>
        <w:spacing w:line="276" w:lineRule="auto"/>
        <w:rPr>
          <w:rFonts w:ascii="Verdana" w:hAnsi="Verdana" w:cs="Arial"/>
          <w:sz w:val="18"/>
          <w:szCs w:val="18"/>
          <w:lang w:eastAsia="nl-NL"/>
        </w:rPr>
      </w:pPr>
      <w:r w:rsidRPr="00157BD4">
        <w:rPr>
          <w:rFonts w:ascii="Verdana" w:hAnsi="Verdana" w:cs="Arial"/>
          <w:sz w:val="18"/>
          <w:szCs w:val="18"/>
          <w:lang w:eastAsia="nl-NL"/>
        </w:rPr>
        <w:t>De JeugdzorgPlus aanbieder houdt toezicht op het naleven van de voorwaarden die aan de voorwaardelijke machtiging verbonden zijn;</w:t>
      </w:r>
    </w:p>
    <w:p w:rsidR="00157BD4" w:rsidRPr="00157BD4" w:rsidRDefault="00157BD4" w:rsidP="00157BD4">
      <w:pPr>
        <w:pStyle w:val="Lijstalinea"/>
        <w:numPr>
          <w:ilvl w:val="0"/>
          <w:numId w:val="1"/>
        </w:numPr>
        <w:spacing w:line="276" w:lineRule="auto"/>
        <w:rPr>
          <w:rFonts w:ascii="Verdana" w:hAnsi="Verdana" w:cs="Arial"/>
          <w:sz w:val="18"/>
          <w:szCs w:val="18"/>
          <w:lang w:eastAsia="nl-NL"/>
        </w:rPr>
      </w:pPr>
      <w:r w:rsidRPr="00157BD4">
        <w:rPr>
          <w:rFonts w:ascii="Verdana" w:hAnsi="Verdana" w:cs="Arial"/>
          <w:sz w:val="18"/>
          <w:szCs w:val="18"/>
          <w:lang w:eastAsia="nl-NL"/>
        </w:rPr>
        <w:t xml:space="preserve">Rechtbanken nemen in de voorwaardelijke machtiging de naam van de JeugdzorgPlus instelling op waar de jongere geplaatst wordt. De insteek is indien het noodzakelijk is dat de jeugdigen geplaatst wordt bij de JeugdzorgPlus aanbieder, dat dit gebeurt bij de betrokken JeugdzorgPlus aanbieder. In uitzonderlijke situaties zal dit anders zijn zoals: mits de aanbieder vol zit of na overleg een andere locatie passender is voor de jeugdigen; </w:t>
      </w:r>
    </w:p>
    <w:p w:rsidR="00157BD4" w:rsidRPr="00157BD4" w:rsidRDefault="00157BD4" w:rsidP="00157BD4">
      <w:pPr>
        <w:pStyle w:val="Lijstalinea"/>
        <w:numPr>
          <w:ilvl w:val="0"/>
          <w:numId w:val="1"/>
        </w:numPr>
        <w:spacing w:line="276" w:lineRule="auto"/>
        <w:rPr>
          <w:rFonts w:ascii="Verdana" w:hAnsi="Verdana" w:cs="Arial"/>
          <w:sz w:val="18"/>
          <w:szCs w:val="18"/>
          <w:lang w:eastAsia="nl-NL"/>
        </w:rPr>
      </w:pPr>
      <w:r w:rsidRPr="00157BD4">
        <w:rPr>
          <w:rFonts w:ascii="Verdana" w:hAnsi="Verdana" w:cs="Arial"/>
          <w:sz w:val="18"/>
          <w:szCs w:val="18"/>
          <w:lang w:eastAsia="nl-NL"/>
        </w:rPr>
        <w:t>De aanbieder stuurt naar de desbetreffende verantwoordelijke gemeenten van de jeugdigen een bericht zodat de gemeenten op de hoogte is van de rekening die gaat komen.</w:t>
      </w:r>
    </w:p>
    <w:p w:rsidR="00157BD4" w:rsidRPr="00157BD4" w:rsidRDefault="00157BD4" w:rsidP="00157BD4">
      <w:pPr>
        <w:spacing w:after="0" w:line="276" w:lineRule="auto"/>
        <w:rPr>
          <w:rFonts w:ascii="Verdana" w:hAnsi="Verdana"/>
          <w:sz w:val="18"/>
          <w:szCs w:val="18"/>
        </w:rPr>
      </w:pPr>
      <w:r w:rsidRPr="00157BD4">
        <w:rPr>
          <w:rFonts w:ascii="Verdana" w:hAnsi="Verdana"/>
          <w:sz w:val="18"/>
          <w:szCs w:val="18"/>
        </w:rPr>
        <w:br w:type="page"/>
      </w:r>
    </w:p>
    <w:p w:rsidR="00157BD4" w:rsidRPr="00157BD4" w:rsidRDefault="00157BD4" w:rsidP="00157BD4">
      <w:pPr>
        <w:spacing w:line="276" w:lineRule="auto"/>
        <w:rPr>
          <w:rFonts w:ascii="Verdana" w:hAnsi="Verdana"/>
          <w:b/>
          <w:bCs/>
          <w:sz w:val="18"/>
          <w:szCs w:val="18"/>
        </w:rPr>
      </w:pPr>
      <w:r w:rsidRPr="00157BD4">
        <w:rPr>
          <w:rFonts w:ascii="Verdana" w:hAnsi="Verdana"/>
          <w:b/>
          <w:bCs/>
          <w:sz w:val="18"/>
          <w:szCs w:val="18"/>
        </w:rPr>
        <w:lastRenderedPageBreak/>
        <w:t xml:space="preserve">Voorwaardelijke machtiging (VM) aan de voorkant </w:t>
      </w:r>
    </w:p>
    <w:p w:rsidR="00157BD4" w:rsidRPr="00157BD4" w:rsidRDefault="00157BD4" w:rsidP="00157BD4">
      <w:pPr>
        <w:spacing w:line="276" w:lineRule="auto"/>
        <w:rPr>
          <w:rFonts w:ascii="Verdana" w:hAnsi="Verdana"/>
          <w:b/>
          <w:bCs/>
          <w:sz w:val="18"/>
          <w:szCs w:val="18"/>
        </w:rPr>
      </w:pPr>
      <w:r w:rsidRPr="00157BD4">
        <w:rPr>
          <w:rFonts w:ascii="Verdana" w:hAnsi="Verdana"/>
          <w:noProof/>
          <w:sz w:val="18"/>
          <w:szCs w:val="18"/>
          <w:lang w:eastAsia="nl-NL"/>
        </w:rPr>
        <w:drawing>
          <wp:inline distT="0" distB="0" distL="0" distR="0" wp14:anchorId="2C4C6364" wp14:editId="098DC827">
            <wp:extent cx="5760720" cy="46297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629785"/>
                    </a:xfrm>
                    <a:prstGeom prst="rect">
                      <a:avLst/>
                    </a:prstGeom>
                    <a:noFill/>
                    <a:ln>
                      <a:noFill/>
                    </a:ln>
                  </pic:spPr>
                </pic:pic>
              </a:graphicData>
            </a:graphic>
          </wp:inline>
        </w:drawing>
      </w:r>
      <w:r>
        <w:rPr>
          <w:rFonts w:ascii="Verdana" w:hAnsi="Verdana"/>
          <w:b/>
          <w:bCs/>
          <w:sz w:val="18"/>
          <w:szCs w:val="18"/>
        </w:rPr>
        <w:br/>
      </w:r>
    </w:p>
    <w:tbl>
      <w:tblPr>
        <w:tblStyle w:val="Lijsttabel3-Accent5"/>
        <w:tblpPr w:leftFromText="141" w:rightFromText="141" w:vertAnchor="text" w:tblpY="143"/>
        <w:tblW w:w="0" w:type="auto"/>
        <w:tblLook w:val="04A0" w:firstRow="1" w:lastRow="0" w:firstColumn="1" w:lastColumn="0" w:noHBand="0" w:noVBand="1"/>
      </w:tblPr>
      <w:tblGrid>
        <w:gridCol w:w="1758"/>
        <w:gridCol w:w="1578"/>
        <w:gridCol w:w="5724"/>
      </w:tblGrid>
      <w:tr w:rsidR="00157BD4" w:rsidRPr="00157BD4" w:rsidTr="00157BD4">
        <w:trPr>
          <w:cnfStyle w:val="100000000000" w:firstRow="1" w:lastRow="0" w:firstColumn="0" w:lastColumn="0" w:oddVBand="0" w:evenVBand="0" w:oddHBand="0" w:evenHBand="0" w:firstRowFirstColumn="0" w:firstRowLastColumn="0" w:lastRowFirstColumn="0" w:lastRowLastColumn="0"/>
          <w:trHeight w:val="354"/>
        </w:trPr>
        <w:tc>
          <w:tcPr>
            <w:cnfStyle w:val="001000000100" w:firstRow="0" w:lastRow="0" w:firstColumn="1" w:lastColumn="0" w:oddVBand="0" w:evenVBand="0" w:oddHBand="0" w:evenHBand="0" w:firstRowFirstColumn="1" w:firstRowLastColumn="0" w:lastRowFirstColumn="0" w:lastRowLastColumn="0"/>
            <w:tcW w:w="1758" w:type="dxa"/>
          </w:tcPr>
          <w:p w:rsidR="00157BD4" w:rsidRPr="00157BD4" w:rsidRDefault="00157BD4" w:rsidP="00157BD4">
            <w:pPr>
              <w:spacing w:line="276" w:lineRule="auto"/>
              <w:rPr>
                <w:rFonts w:ascii="Verdana" w:hAnsi="Verdana"/>
                <w:sz w:val="18"/>
                <w:szCs w:val="18"/>
              </w:rPr>
            </w:pPr>
            <w:r w:rsidRPr="00157BD4">
              <w:rPr>
                <w:rFonts w:ascii="Verdana" w:hAnsi="Verdana"/>
                <w:sz w:val="18"/>
                <w:szCs w:val="18"/>
              </w:rPr>
              <w:t>Adviesorgaan</w:t>
            </w:r>
          </w:p>
        </w:tc>
        <w:tc>
          <w:tcPr>
            <w:tcW w:w="1578" w:type="dxa"/>
          </w:tcPr>
          <w:p w:rsidR="00157BD4" w:rsidRPr="00157BD4" w:rsidRDefault="00157BD4" w:rsidP="00157BD4">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157BD4">
              <w:rPr>
                <w:rFonts w:ascii="Verdana" w:hAnsi="Verdana"/>
                <w:sz w:val="18"/>
                <w:szCs w:val="18"/>
              </w:rPr>
              <w:t>Regio’s</w:t>
            </w:r>
          </w:p>
        </w:tc>
        <w:tc>
          <w:tcPr>
            <w:tcW w:w="5724" w:type="dxa"/>
          </w:tcPr>
          <w:p w:rsidR="00157BD4" w:rsidRPr="00157BD4" w:rsidRDefault="00157BD4" w:rsidP="00157BD4">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157BD4">
              <w:rPr>
                <w:rFonts w:ascii="Verdana" w:hAnsi="Verdana"/>
                <w:sz w:val="18"/>
                <w:szCs w:val="18"/>
              </w:rPr>
              <w:t>Omschrijving</w:t>
            </w:r>
          </w:p>
        </w:tc>
      </w:tr>
      <w:tr w:rsidR="00157BD4" w:rsidRPr="00157BD4" w:rsidTr="00157BD4">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758" w:type="dxa"/>
          </w:tcPr>
          <w:p w:rsidR="00157BD4" w:rsidRPr="00157BD4" w:rsidRDefault="00157BD4" w:rsidP="00157BD4">
            <w:pPr>
              <w:spacing w:line="276" w:lineRule="auto"/>
              <w:rPr>
                <w:rFonts w:ascii="Verdana" w:hAnsi="Verdana"/>
                <w:b w:val="0"/>
                <w:bCs w:val="0"/>
                <w:sz w:val="18"/>
                <w:szCs w:val="18"/>
              </w:rPr>
            </w:pPr>
            <w:r w:rsidRPr="00157BD4">
              <w:rPr>
                <w:rFonts w:ascii="Verdana" w:hAnsi="Verdana"/>
                <w:sz w:val="18"/>
                <w:szCs w:val="18"/>
              </w:rPr>
              <w:t>Civiel trajectberaad (CTB)</w:t>
            </w:r>
          </w:p>
        </w:tc>
        <w:tc>
          <w:tcPr>
            <w:tcW w:w="1578" w:type="dxa"/>
          </w:tcPr>
          <w:p w:rsidR="00157BD4" w:rsidRDefault="00157BD4" w:rsidP="00157BD4">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57BD4">
              <w:rPr>
                <w:rFonts w:ascii="Verdana" w:hAnsi="Verdana"/>
                <w:sz w:val="18"/>
                <w:szCs w:val="18"/>
              </w:rPr>
              <w:t>Noordoost-Brabant (NOB)</w:t>
            </w:r>
          </w:p>
          <w:p w:rsidR="00157BD4" w:rsidRDefault="00157BD4" w:rsidP="00157BD4">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En </w:t>
            </w:r>
          </w:p>
          <w:p w:rsidR="00157BD4" w:rsidRPr="00157BD4" w:rsidRDefault="00157BD4" w:rsidP="00157BD4">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Zuidoost- Brabant</w:t>
            </w:r>
          </w:p>
        </w:tc>
        <w:tc>
          <w:tcPr>
            <w:tcW w:w="5724" w:type="dxa"/>
          </w:tcPr>
          <w:p w:rsidR="00157BD4" w:rsidRPr="00157BD4" w:rsidRDefault="00157BD4" w:rsidP="00157BD4">
            <w:pPr>
              <w:pStyle w:val="Norma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157BD4">
              <w:rPr>
                <w:rFonts w:ascii="Verdana" w:hAnsi="Verdana" w:cstheme="minorHAnsi"/>
                <w:sz w:val="18"/>
                <w:szCs w:val="18"/>
              </w:rPr>
              <w:t>Adviesfunctie bij zowel instroom als uitstroom van een JZ+ plaatsing. CTB wordt ingezet om JeugdzorgPlus plaatsingen zoveel mogelijk te voorkomen of om de plaatsingen te verkorten. In het CTB wordt in een beraad samen met de jeugdigen, zijn/haar ouders en netwerk een inhoudelijk perspectief biedend plan gemaakt. Met een nadrukkelijke rol en voor jongere en ouders.</w:t>
            </w:r>
          </w:p>
          <w:p w:rsidR="00157BD4" w:rsidRPr="00157BD4" w:rsidRDefault="00157BD4" w:rsidP="00157BD4">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bl>
    <w:p w:rsidR="00157BD4" w:rsidRPr="00157BD4" w:rsidRDefault="00157BD4" w:rsidP="00157BD4">
      <w:pPr>
        <w:pStyle w:val="Geenafstand"/>
        <w:spacing w:line="276" w:lineRule="auto"/>
        <w:rPr>
          <w:rFonts w:ascii="Verdana" w:hAnsi="Verdana" w:cstheme="minorHAnsi"/>
          <w:sz w:val="18"/>
          <w:szCs w:val="18"/>
        </w:rPr>
      </w:pPr>
    </w:p>
    <w:p w:rsidR="00A23891" w:rsidRPr="00157BD4" w:rsidRDefault="00A23891" w:rsidP="00157BD4">
      <w:pPr>
        <w:pStyle w:val="Geenafstand"/>
        <w:spacing w:line="276" w:lineRule="auto"/>
        <w:rPr>
          <w:rFonts w:ascii="Verdana" w:eastAsiaTheme="majorEastAsia" w:hAnsi="Verdana"/>
          <w:b/>
          <w:bCs/>
          <w:color w:val="365F91" w:themeColor="accent1" w:themeShade="BF"/>
          <w:sz w:val="18"/>
          <w:szCs w:val="18"/>
          <w:lang w:eastAsia="nl-NL"/>
        </w:rPr>
      </w:pPr>
    </w:p>
    <w:sectPr w:rsidR="00A23891" w:rsidRPr="00157BD4" w:rsidSect="004B7D8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0330"/>
    <w:multiLevelType w:val="hybridMultilevel"/>
    <w:tmpl w:val="AFC8F746"/>
    <w:lvl w:ilvl="0" w:tplc="0AD2738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9868A4"/>
    <w:multiLevelType w:val="hybridMultilevel"/>
    <w:tmpl w:val="176272B6"/>
    <w:lvl w:ilvl="0" w:tplc="0AD2738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D4"/>
    <w:rsid w:val="00157BD4"/>
    <w:rsid w:val="002050E4"/>
    <w:rsid w:val="0021188C"/>
    <w:rsid w:val="00273CEB"/>
    <w:rsid w:val="00392A1A"/>
    <w:rsid w:val="004A5CDD"/>
    <w:rsid w:val="004B7D82"/>
    <w:rsid w:val="008F6C27"/>
    <w:rsid w:val="00971503"/>
    <w:rsid w:val="00A23891"/>
    <w:rsid w:val="00AD091A"/>
    <w:rsid w:val="00CB441C"/>
    <w:rsid w:val="00CB50AF"/>
    <w:rsid w:val="00CB6623"/>
    <w:rsid w:val="00CC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F715"/>
  <w15:chartTrackingRefBased/>
  <w15:docId w15:val="{2D44D700-F822-49CD-B385-22D2B7D1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7BD4"/>
    <w:pPr>
      <w:spacing w:after="80" w:line="240" w:lineRule="auto"/>
    </w:pPr>
    <w:rPr>
      <w:rFonts w:ascii="Arial" w:hAnsi="Arial"/>
      <w:sz w:val="20"/>
      <w:szCs w:val="22"/>
    </w:rPr>
  </w:style>
  <w:style w:type="paragraph" w:styleId="Kop1">
    <w:name w:val="heading 1"/>
    <w:basedOn w:val="Standaard"/>
    <w:next w:val="Standaard"/>
    <w:link w:val="Kop1Char"/>
    <w:uiPriority w:val="9"/>
    <w:qFormat/>
    <w:rsid w:val="00273CEB"/>
    <w:pPr>
      <w:keepNext/>
      <w:keepLines/>
      <w:spacing w:before="480"/>
      <w:outlineLvl w:val="0"/>
    </w:pPr>
    <w:rPr>
      <w:rFonts w:eastAsiaTheme="majorEastAsia" w:cstheme="majorBidi"/>
      <w:b/>
      <w:bCs/>
      <w:szCs w:val="28"/>
    </w:rPr>
  </w:style>
  <w:style w:type="paragraph" w:styleId="Kop2">
    <w:name w:val="heading 2"/>
    <w:basedOn w:val="Standaard"/>
    <w:next w:val="Standaard"/>
    <w:link w:val="Kop2Char"/>
    <w:uiPriority w:val="9"/>
    <w:qFormat/>
    <w:rsid w:val="00273CEB"/>
    <w:pPr>
      <w:keepNext/>
      <w:keepLines/>
      <w:spacing w:before="200"/>
      <w:outlineLvl w:val="1"/>
    </w:pPr>
    <w:rPr>
      <w:rFonts w:eastAsiaTheme="majorEastAsia" w:cstheme="majorBidi"/>
      <w:bCs/>
      <w:i/>
      <w:szCs w:val="26"/>
    </w:rPr>
  </w:style>
  <w:style w:type="paragraph" w:styleId="Kop3">
    <w:name w:val="heading 3"/>
    <w:basedOn w:val="Standaard"/>
    <w:next w:val="Standaard"/>
    <w:link w:val="Kop3Char"/>
    <w:uiPriority w:val="9"/>
    <w:qFormat/>
    <w:rsid w:val="00273CEB"/>
    <w:pPr>
      <w:keepNext/>
      <w:keepLines/>
      <w:spacing w:before="200"/>
      <w:outlineLvl w:val="2"/>
    </w:pPr>
    <w:rPr>
      <w:rFonts w:eastAsiaTheme="majorEastAsia" w:cstheme="majorBidi"/>
      <w:bCs/>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3CEB"/>
    <w:rPr>
      <w:rFonts w:eastAsiaTheme="majorEastAsia" w:cstheme="majorBidi"/>
      <w:b/>
      <w:bCs/>
      <w:szCs w:val="28"/>
    </w:rPr>
  </w:style>
  <w:style w:type="character" w:customStyle="1" w:styleId="Kop2Char">
    <w:name w:val="Kop 2 Char"/>
    <w:basedOn w:val="Standaardalinea-lettertype"/>
    <w:link w:val="Kop2"/>
    <w:uiPriority w:val="9"/>
    <w:rsid w:val="00273CEB"/>
    <w:rPr>
      <w:rFonts w:eastAsiaTheme="majorEastAsia" w:cstheme="majorBidi"/>
      <w:bCs/>
      <w:i/>
      <w:szCs w:val="26"/>
    </w:rPr>
  </w:style>
  <w:style w:type="character" w:customStyle="1" w:styleId="Kop3Char">
    <w:name w:val="Kop 3 Char"/>
    <w:basedOn w:val="Standaardalinea-lettertype"/>
    <w:link w:val="Kop3"/>
    <w:uiPriority w:val="9"/>
    <w:rsid w:val="00273CEB"/>
    <w:rPr>
      <w:rFonts w:eastAsiaTheme="majorEastAsia" w:cstheme="majorBidi"/>
      <w:bCs/>
      <w:smallCaps/>
    </w:rPr>
  </w:style>
  <w:style w:type="paragraph" w:styleId="Geenafstand">
    <w:name w:val="No Spacing"/>
    <w:basedOn w:val="Standaard"/>
    <w:uiPriority w:val="1"/>
    <w:qFormat/>
    <w:rsid w:val="00CB50AF"/>
  </w:style>
  <w:style w:type="paragraph" w:styleId="Titel">
    <w:name w:val="Title"/>
    <w:basedOn w:val="Standaard"/>
    <w:next w:val="Standaard"/>
    <w:link w:val="TitelChar"/>
    <w:uiPriority w:val="10"/>
    <w:qFormat/>
    <w:rsid w:val="0021188C"/>
    <w:pPr>
      <w:spacing w:after="300"/>
      <w:contextualSpacing/>
    </w:pPr>
    <w:rPr>
      <w:rFonts w:eastAsiaTheme="majorEastAsia" w:cstheme="majorBidi"/>
      <w:spacing w:val="5"/>
      <w:kern w:val="28"/>
      <w:sz w:val="24"/>
      <w:szCs w:val="52"/>
    </w:rPr>
  </w:style>
  <w:style w:type="character" w:customStyle="1" w:styleId="TitelChar">
    <w:name w:val="Titel Char"/>
    <w:basedOn w:val="Standaardalinea-lettertype"/>
    <w:link w:val="Titel"/>
    <w:uiPriority w:val="10"/>
    <w:rsid w:val="0021188C"/>
    <w:rPr>
      <w:rFonts w:eastAsiaTheme="majorEastAsia" w:cstheme="majorBidi"/>
      <w:spacing w:val="5"/>
      <w:kern w:val="28"/>
      <w:sz w:val="24"/>
      <w:szCs w:val="52"/>
    </w:rPr>
  </w:style>
  <w:style w:type="paragraph" w:styleId="Kopvaninhoudsopgave">
    <w:name w:val="TOC Heading"/>
    <w:basedOn w:val="Kop1"/>
    <w:next w:val="Standaard"/>
    <w:uiPriority w:val="39"/>
    <w:semiHidden/>
    <w:unhideWhenUsed/>
    <w:qFormat/>
    <w:rsid w:val="00AD091A"/>
    <w:pPr>
      <w:spacing w:line="276" w:lineRule="auto"/>
      <w:outlineLvl w:val="9"/>
    </w:pPr>
    <w:rPr>
      <w:color w:val="365F91" w:themeColor="accent1" w:themeShade="BF"/>
      <w:sz w:val="28"/>
      <w:lang w:eastAsia="nl-NL"/>
    </w:rPr>
  </w:style>
  <w:style w:type="paragraph" w:styleId="Lijstalinea">
    <w:name w:val="List Paragraph"/>
    <w:basedOn w:val="Standaard"/>
    <w:uiPriority w:val="34"/>
    <w:qFormat/>
    <w:rsid w:val="00157BD4"/>
    <w:pPr>
      <w:ind w:left="720"/>
      <w:contextualSpacing/>
    </w:pPr>
  </w:style>
  <w:style w:type="table" w:styleId="Lijsttabel3-Accent5">
    <w:name w:val="List Table 3 Accent 5"/>
    <w:basedOn w:val="Standaardtabel"/>
    <w:uiPriority w:val="48"/>
    <w:rsid w:val="00157BD4"/>
    <w:pPr>
      <w:spacing w:line="240" w:lineRule="auto"/>
    </w:pPr>
    <w:rPr>
      <w:rFonts w:asciiTheme="minorHAnsi"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Normaalweb">
    <w:name w:val="Normal (Web)"/>
    <w:basedOn w:val="Standaard"/>
    <w:uiPriority w:val="99"/>
    <w:semiHidden/>
    <w:unhideWhenUsed/>
    <w:rsid w:val="00157BD4"/>
    <w:pPr>
      <w:spacing w:before="100" w:beforeAutospacing="1" w:after="100" w:afterAutospacing="1"/>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157BD4"/>
    <w:rPr>
      <w:sz w:val="16"/>
      <w:szCs w:val="16"/>
    </w:rPr>
  </w:style>
  <w:style w:type="paragraph" w:styleId="Tekstopmerking">
    <w:name w:val="annotation text"/>
    <w:basedOn w:val="Standaard"/>
    <w:link w:val="TekstopmerkingChar"/>
    <w:uiPriority w:val="99"/>
    <w:unhideWhenUsed/>
    <w:rsid w:val="00157BD4"/>
    <w:rPr>
      <w:szCs w:val="20"/>
    </w:rPr>
  </w:style>
  <w:style w:type="character" w:customStyle="1" w:styleId="TekstopmerkingChar">
    <w:name w:val="Tekst opmerking Char"/>
    <w:basedOn w:val="Standaardalinea-lettertype"/>
    <w:link w:val="Tekstopmerking"/>
    <w:uiPriority w:val="99"/>
    <w:rsid w:val="00157BD4"/>
    <w:rPr>
      <w:rFonts w:ascii="Arial" w:hAnsi="Arial"/>
      <w:sz w:val="20"/>
      <w:szCs w:val="20"/>
    </w:rPr>
  </w:style>
  <w:style w:type="paragraph" w:styleId="Ballontekst">
    <w:name w:val="Balloon Text"/>
    <w:basedOn w:val="Standaard"/>
    <w:link w:val="BallontekstChar"/>
    <w:uiPriority w:val="99"/>
    <w:semiHidden/>
    <w:unhideWhenUsed/>
    <w:rsid w:val="00157BD4"/>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7BD4"/>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2552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Gemeente Oss</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Remmits, Marisja</dc:creator>
  <cp:keywords/>
  <dc:description/>
  <cp:lastModifiedBy>Remmits, Marisja</cp:lastModifiedBy>
  <cp:revision>1</cp:revision>
  <dcterms:created xsi:type="dcterms:W3CDTF">2022-10-17T10:09:00Z</dcterms:created>
  <dcterms:modified xsi:type="dcterms:W3CDTF">2022-10-17T10:18:00Z</dcterms:modified>
</cp:coreProperties>
</file>